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МБУ «Жилкомцентр» — 31-23-32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Кемеровская служба спасения — 77-05-05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Центральный район — 75-66-67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Ленинский район — 51-84-33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Заводский район — 75-28-50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Рудничный район — 64-15-72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Кировский район — 25-55-76, 25-55-59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ж. р. Ягуновский, Пионер — 32-13-33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ж. р. Кедровка, Промышлённовский — 69-24-84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ж. р. Лесная Поляна — 77-39-12, 77-39-33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